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総務省が進める「新たな自治体情報セキュリティ対策の抜本的強化」により，徳島県電子入札システムでは，平成２９年７月１日より一太郎ファイルの取扱いができなくなります。</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auto"/>
          <w:kern w:val="0"/>
          <w:sz w:val="28"/>
        </w:rPr>
      </w:pPr>
      <w:r>
        <w:rPr>
          <w:rFonts w:hint="eastAsia"/>
          <w:color w:val="000000"/>
          <w:kern w:val="0"/>
          <w:sz w:val="28"/>
        </w:rPr>
        <w:t>　</w:t>
      </w:r>
      <w:r>
        <w:rPr>
          <w:rFonts w:hint="eastAsia"/>
          <w:color w:val="auto"/>
          <w:kern w:val="0"/>
          <w:sz w:val="28"/>
        </w:rPr>
        <w:t>平成２９年７月１日以降に簡易な施工計画を「一太郎」で作成して申請する場合は，</w:t>
      </w:r>
      <w:r>
        <w:rPr>
          <w:rFonts w:hint="eastAsia" w:ascii="ＭＳ ゴシック" w:hAnsi="ＭＳ ゴシック" w:eastAsia="ＭＳ ゴシック"/>
          <w:color w:val="auto"/>
          <w:kern w:val="0"/>
          <w:sz w:val="28"/>
        </w:rPr>
        <w:t>ＰＤＦ形式に変換</w:t>
      </w:r>
      <w:r>
        <w:rPr>
          <w:rFonts w:hint="eastAsia"/>
          <w:color w:val="auto"/>
          <w:kern w:val="0"/>
          <w:sz w:val="28"/>
        </w:rPr>
        <w:t>して申請して下さい。</w:t>
      </w:r>
    </w:p>
    <w:p>
      <w:pPr>
        <w:pStyle w:val="0"/>
        <w:jc w:val="left"/>
        <w:rPr>
          <w:rFonts w:hint="default"/>
          <w:color w:val="auto"/>
          <w:sz w:val="28"/>
        </w:rPr>
      </w:pPr>
      <w:r>
        <w:rPr>
          <w:rFonts w:hint="eastAsia"/>
          <w:color w:val="auto"/>
          <w:sz w:val="28"/>
        </w:rPr>
        <w:t>　なお，</w:t>
      </w:r>
      <w:r>
        <w:rPr>
          <w:rFonts w:hint="eastAsia"/>
          <w:color w:val="auto"/>
          <w:kern w:val="0"/>
          <w:sz w:val="28"/>
        </w:rPr>
        <w:t>簡易な施工計画をワードファイルで作成した場合も，</w:t>
      </w:r>
      <w:r>
        <w:rPr>
          <w:rFonts w:hint="eastAsia"/>
          <w:color w:val="auto"/>
          <w:sz w:val="28"/>
        </w:rPr>
        <w:t>なるべく</w:t>
      </w:r>
      <w:r>
        <w:rPr>
          <w:rFonts w:hint="eastAsia" w:ascii="ＭＳ ゴシック" w:hAnsi="ＭＳ ゴシック" w:eastAsia="ＭＳ ゴシック"/>
          <w:color w:val="auto"/>
          <w:sz w:val="28"/>
        </w:rPr>
        <w:t>ＰＤＦ形式にて提出</w:t>
      </w:r>
      <w:r>
        <w:rPr>
          <w:rFonts w:hint="eastAsia"/>
          <w:color w:val="auto"/>
          <w:sz w:val="28"/>
        </w:rPr>
        <w:t>するようにして下さい。</w:t>
      </w:r>
    </w:p>
    <w:p>
      <w:pPr>
        <w:pStyle w:val="0"/>
        <w:jc w:val="left"/>
        <w:rPr>
          <w:rFonts w:hint="default"/>
          <w:color w:val="auto"/>
          <w:sz w:val="28"/>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wordWrap w:val="0"/>
        <w:ind w:right="-2" w:firstLine="6300" w:firstLineChars="3000"/>
        <w:rPr>
          <w:rFonts w:hint="default"/>
          <w:u w:val="single" w:color="auto"/>
        </w:rPr>
      </w:pPr>
    </w:p>
    <w:p>
      <w:pPr>
        <w:pStyle w:val="0"/>
        <w:ind w:leftChars="0" w:firstLine="0" w:firstLineChars="0"/>
        <w:jc w:val="left"/>
        <w:rPr>
          <w:rFonts w:hint="default"/>
          <w:color w:val="000000"/>
          <w:kern w:val="0"/>
        </w:rPr>
      </w:pP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：Ｒ３営繕　徳島東部防災拠点施設（仮称）　徳・東沖洲１　改修工事建築（１）</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「工程管理」の適切性</w:t>
            </w:r>
          </w:p>
        </w:tc>
      </w:tr>
    </w:tbl>
    <w:p>
      <w:pPr>
        <w:pStyle w:val="0"/>
        <w:overflowPunct w:val="0"/>
        <w:spacing w:line="80" w:lineRule="exact"/>
        <w:jc w:val="left"/>
        <w:textAlignment w:val="baseline"/>
        <w:rPr>
          <w:rFonts w:hint="default"/>
          <w:color w:val="000000"/>
          <w:kern w:val="0"/>
        </w:rPr>
      </w:pPr>
    </w:p>
    <w:tbl>
      <w:tblPr>
        <w:tblStyle w:val="11"/>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4"/>
      </w:tblGrid>
      <w:tr>
        <w:trPr>
          <w:trHeight w:val="396" w:hRule="atLeast"/>
        </w:trPr>
        <w:tc>
          <w:tcPr>
            <w:tcW w:w="9564"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0625" w:hRule="atLeast"/>
        </w:trPr>
        <w:tc>
          <w:tcPr>
            <w:tcW w:w="9564" w:type="dxa"/>
            <w:vAlign w:val="top"/>
          </w:tcPr>
          <w:p>
            <w:pPr>
              <w:pStyle w:val="0"/>
              <w:spacing w:line="209" w:lineRule="exact"/>
              <w:rPr>
                <w:rFonts w:hint="default"/>
              </w:rPr>
            </w:pPr>
          </w:p>
          <w:p>
            <w:pPr>
              <w:pStyle w:val="0"/>
              <w:spacing w:line="209" w:lineRule="exact"/>
              <w:ind w:firstLine="210" w:firstLineChars="100"/>
              <w:rPr>
                <w:rFonts w:hint="eastAsia"/>
              </w:rPr>
            </w:pPr>
            <w:r>
              <w:rPr>
                <w:rFonts w:hint="eastAsia"/>
              </w:rPr>
              <w:t>本工事は，マリンピア沖洲内にある旧印刷センターを防災拠点施設として利用するための改修工事である。</w:t>
            </w:r>
          </w:p>
          <w:p>
            <w:pPr>
              <w:pStyle w:val="0"/>
              <w:spacing w:line="209" w:lineRule="exact"/>
              <w:ind w:firstLine="210" w:firstLineChars="100"/>
              <w:rPr>
                <w:rFonts w:hint="eastAsia"/>
              </w:rPr>
            </w:pPr>
            <w:r>
              <w:rPr>
                <w:rFonts w:hint="eastAsia"/>
              </w:rPr>
              <w:t>本県では，切迫する南海トラフ巨大地震への備えが喫緊の課題であり，この施設をすぐにでも利用できるよう整備するために，工事の遅れを生じさせない円滑な工程管理が必要となる。</w:t>
            </w:r>
          </w:p>
          <w:p>
            <w:pPr>
              <w:pStyle w:val="0"/>
              <w:spacing w:line="209" w:lineRule="exact"/>
              <w:ind w:firstLine="210" w:firstLineChars="100"/>
              <w:rPr>
                <w:rFonts w:hint="eastAsia"/>
              </w:rPr>
            </w:pPr>
            <w:r>
              <w:rPr>
                <w:rFonts w:hint="eastAsia"/>
              </w:rPr>
              <w:t>また，別途発注の建築工事（２），電気工事，管工事及び空調工事と工期が重なることから，他工事の工事状況を考慮した工程計画を作成し，工事を進捗させることが必要となる。</w:t>
            </w:r>
          </w:p>
          <w:p>
            <w:pPr>
              <w:pStyle w:val="0"/>
              <w:spacing w:line="209" w:lineRule="exact"/>
              <w:ind w:firstLine="210" w:firstLineChars="100"/>
              <w:rPr>
                <w:rFonts w:hint="eastAsia"/>
              </w:rPr>
            </w:pPr>
            <w:r>
              <w:rPr>
                <w:rFonts w:hint="eastAsia"/>
              </w:rPr>
              <w:t>ついては，これらのことを踏まえ，次の全ての事項について，具体的に記述すること。</w:t>
            </w:r>
          </w:p>
          <w:p>
            <w:pPr>
              <w:pStyle w:val="0"/>
              <w:spacing w:line="209" w:lineRule="exact"/>
              <w:ind w:firstLine="210" w:firstLineChars="100"/>
              <w:rPr>
                <w:rFonts w:hint="eastAsia"/>
              </w:rPr>
            </w:pPr>
          </w:p>
          <w:p>
            <w:pPr>
              <w:pStyle w:val="0"/>
              <w:spacing w:line="209" w:lineRule="exact"/>
              <w:ind w:firstLine="210" w:firstLineChars="100"/>
              <w:rPr>
                <w:rFonts w:hint="eastAsia"/>
              </w:rPr>
            </w:pPr>
            <w:r>
              <w:rPr>
                <w:rFonts w:hint="eastAsia"/>
              </w:rPr>
              <w:t>①適切な工程管理を行うための工夫</w:t>
            </w:r>
          </w:p>
          <w:p>
            <w:pPr>
              <w:pStyle w:val="0"/>
              <w:spacing w:line="209" w:lineRule="exact"/>
              <w:ind w:firstLine="210" w:firstLineChars="100"/>
              <w:rPr>
                <w:rFonts w:hint="default"/>
                <w:color w:val="000000" w:themeColor="text1"/>
                <w:kern w:val="0"/>
              </w:rPr>
            </w:pPr>
            <w:r>
              <w:rPr>
                <w:rFonts w:hint="eastAsia"/>
              </w:rPr>
              <w:t>②他工事との工程調整等に関する工夫</w:t>
            </w: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tc>
      </w:tr>
    </w:tbl>
    <w:p>
      <w:pPr>
        <w:pStyle w:val="0"/>
        <w:jc w:val="left"/>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：Ｒ３営繕　徳島東部防災拠点施設（仮称）　徳・東沖洲１　改修工事建築（１）</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「工程管理」の適切性</w:t>
            </w:r>
          </w:p>
        </w:tc>
      </w:tr>
    </w:tbl>
    <w:p>
      <w:pPr>
        <w:pStyle w:val="0"/>
        <w:overflowPunct w:val="0"/>
        <w:spacing w:line="80" w:lineRule="exact"/>
        <w:jc w:val="left"/>
        <w:textAlignment w:val="baseline"/>
        <w:rPr>
          <w:rFonts w:hint="default"/>
          <w:color w:val="000000"/>
          <w:kern w:val="0"/>
        </w:rPr>
      </w:pPr>
    </w:p>
    <w:tbl>
      <w:tblPr>
        <w:tblStyle w:val="11"/>
        <w:tblW w:w="951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18"/>
      </w:tblGrid>
      <w:tr>
        <w:trPr>
          <w:trHeight w:val="411" w:hRule="atLeast"/>
        </w:trPr>
        <w:tc>
          <w:tcPr>
            <w:tcW w:w="9518"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518" w:type="dxa"/>
            <w:vAlign w:val="top"/>
          </w:tcPr>
          <w:p>
            <w:pPr>
              <w:pStyle w:val="0"/>
              <w:overflowPunct w:val="0"/>
              <w:spacing w:line="208" w:lineRule="exact"/>
              <w:ind w:left="-21"/>
              <w:jc w:val="left"/>
              <w:textAlignment w:val="baseline"/>
              <w:rPr>
                <w:rFonts w:hint="eastAsia"/>
                <w:color w:val="000000"/>
                <w:kern w:val="0"/>
              </w:rPr>
            </w:pPr>
            <w:r>
              <w:rPr>
                <w:rFonts w:hint="eastAsia"/>
              </w:rPr>
              <w:t>①適切な工程管理を行うための工夫</w:t>
            </w: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p>
          <w:p>
            <w:pPr>
              <w:pStyle w:val="0"/>
              <w:overflowPunct w:val="0"/>
              <w:spacing w:line="208" w:lineRule="exact"/>
              <w:ind w:left="-21"/>
              <w:jc w:val="left"/>
              <w:textAlignment w:val="baseline"/>
              <w:rPr>
                <w:rFonts w:hint="eastAsia"/>
                <w:color w:val="000000"/>
                <w:kern w:val="0"/>
              </w:rPr>
            </w:pPr>
            <w:r>
              <w:rPr>
                <w:rFonts w:hint="eastAsia"/>
                <w:color w:val="000000"/>
                <w:kern w:val="0"/>
              </w:rPr>
              <w:t>②他工事との工程調整等に関する工夫</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spacing w:line="209" w:lineRule="exact"/>
              <w:rPr>
                <w:rFonts w:hint="default"/>
              </w:rPr>
            </w:pPr>
          </w:p>
          <w:p>
            <w:pPr>
              <w:pStyle w:val="0"/>
              <w:spacing w:line="209" w:lineRule="exact"/>
              <w:rPr>
                <w:rFonts w:hint="default"/>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bookmarkStart w:id="0" w:name="_GoBack"/>
            <w:bookmarkEnd w:id="0"/>
          </w:p>
        </w:tc>
      </w:tr>
    </w:tbl>
    <w:p>
      <w:pPr>
        <w:pStyle w:val="0"/>
        <w:wordWrap w:val="0"/>
        <w:ind w:right="840"/>
        <w:jc w:val="center"/>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leftChars="0" w:firstLine="0" w:firstLineChars="0"/>
        <w:jc w:val="left"/>
        <w:rPr>
          <w:rFonts w:hint="default"/>
          <w:color w:val="000000"/>
          <w:kern w:val="0"/>
        </w:rPr>
      </w:pP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：Ｒ３営繕　徳島東部防災拠点施設（仮称）　徳・東沖洲１　改修工事建築（１）</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4"/>
      </w:tblGrid>
      <w:tr>
        <w:trPr>
          <w:trHeight w:val="396" w:hRule="atLeast"/>
        </w:trPr>
        <w:tc>
          <w:tcPr>
            <w:tcW w:w="9564"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0625" w:hRule="atLeast"/>
        </w:trPr>
        <w:tc>
          <w:tcPr>
            <w:tcW w:w="9564" w:type="dxa"/>
            <w:vAlign w:val="top"/>
          </w:tcPr>
          <w:p>
            <w:pPr>
              <w:pStyle w:val="0"/>
              <w:spacing w:line="209" w:lineRule="exact"/>
              <w:rPr>
                <w:rFonts w:hint="default"/>
              </w:rPr>
            </w:pPr>
          </w:p>
          <w:p>
            <w:pPr>
              <w:pStyle w:val="0"/>
              <w:spacing w:line="209" w:lineRule="exact"/>
              <w:ind w:firstLine="210" w:firstLineChars="100"/>
              <w:rPr>
                <w:rFonts w:hint="eastAsia"/>
              </w:rPr>
            </w:pPr>
            <w:r>
              <w:rPr>
                <w:rFonts w:hint="eastAsia"/>
              </w:rPr>
              <w:t>本工事は，マリンピア沖洲内にある旧印刷センターを防災拠点施設として利用するための改修工事である。</w:t>
            </w:r>
          </w:p>
          <w:p>
            <w:pPr>
              <w:pStyle w:val="0"/>
              <w:spacing w:line="209" w:lineRule="exact"/>
              <w:ind w:firstLine="210" w:firstLineChars="100"/>
              <w:rPr>
                <w:rFonts w:hint="eastAsia"/>
              </w:rPr>
            </w:pPr>
            <w:r>
              <w:rPr>
                <w:rFonts w:hint="eastAsia"/>
              </w:rPr>
              <w:t>工事期間中は，別途発注の建築工事（２），電気工事，管工事及び空調工事に係る複数の請負業者での工事が重なり，屋外敷地は，資材置き場，資材の搬出入時のトラックや作業員の駐車場及び揚重機ヤードなど非常に混雑した空間となり，この限られた空間を有効に利用するための工夫や安全対策が必要となる。</w:t>
            </w:r>
          </w:p>
          <w:p>
            <w:pPr>
              <w:pStyle w:val="0"/>
              <w:spacing w:line="209" w:lineRule="exact"/>
              <w:ind w:firstLine="210" w:firstLineChars="100"/>
              <w:rPr>
                <w:rFonts w:hint="eastAsia"/>
              </w:rPr>
            </w:pPr>
            <w:r>
              <w:rPr>
                <w:rFonts w:hint="eastAsia"/>
              </w:rPr>
              <w:t>また，屋上での工事や吹き抜け部分への足場設置による高所作業もあることから，資材等の落下事故や作業員の墜落事故の防止対策が必要となる。</w:t>
            </w:r>
          </w:p>
          <w:p>
            <w:pPr>
              <w:pStyle w:val="0"/>
              <w:spacing w:line="209" w:lineRule="exact"/>
              <w:ind w:firstLine="210" w:firstLineChars="100"/>
              <w:rPr>
                <w:rFonts w:hint="eastAsia"/>
              </w:rPr>
            </w:pPr>
            <w:r>
              <w:rPr>
                <w:rFonts w:hint="eastAsia"/>
              </w:rPr>
              <w:t>さらに，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事前調整，安全確保等が求められる。</w:t>
            </w:r>
          </w:p>
          <w:p>
            <w:pPr>
              <w:pStyle w:val="0"/>
              <w:spacing w:line="209" w:lineRule="exact"/>
              <w:ind w:firstLine="210" w:firstLineChars="100"/>
              <w:rPr>
                <w:rFonts w:hint="eastAsia"/>
              </w:rPr>
            </w:pPr>
            <w:r>
              <w:rPr>
                <w:rFonts w:hint="eastAsia"/>
              </w:rPr>
              <w:t>これらを踏まえた上で，次の全ての事項について配慮すべき事項を具体的に記述すること。</w:t>
            </w:r>
          </w:p>
          <w:p>
            <w:pPr>
              <w:pStyle w:val="0"/>
              <w:spacing w:line="209" w:lineRule="exact"/>
              <w:ind w:firstLine="210" w:firstLineChars="100"/>
              <w:rPr>
                <w:rFonts w:hint="eastAsia"/>
              </w:rPr>
            </w:pPr>
          </w:p>
          <w:p>
            <w:pPr>
              <w:pStyle w:val="0"/>
              <w:spacing w:line="209" w:lineRule="exact"/>
              <w:ind w:firstLine="210" w:firstLineChars="100"/>
              <w:rPr>
                <w:rFonts w:hint="eastAsia"/>
              </w:rPr>
            </w:pPr>
            <w:r>
              <w:rPr>
                <w:rFonts w:hint="eastAsia"/>
              </w:rPr>
              <w:t>①限られた外部空間を有効に利用するための工夫や安全対策</w:t>
            </w:r>
          </w:p>
          <w:p>
            <w:pPr>
              <w:pStyle w:val="0"/>
              <w:spacing w:line="209" w:lineRule="exact"/>
              <w:ind w:firstLine="210" w:firstLineChars="100"/>
              <w:rPr>
                <w:rFonts w:hint="eastAsia"/>
              </w:rPr>
            </w:pPr>
            <w:r>
              <w:rPr>
                <w:rFonts w:hint="eastAsia"/>
              </w:rPr>
              <w:t>②高所作業における資材等の落下や作業員の墜落事故を防止するための工夫</w:t>
            </w:r>
          </w:p>
          <w:p>
            <w:pPr>
              <w:pStyle w:val="0"/>
              <w:spacing w:line="209" w:lineRule="exact"/>
              <w:ind w:firstLine="210" w:firstLineChars="100"/>
              <w:rPr>
                <w:rFonts w:hint="eastAsia"/>
              </w:rPr>
            </w:pPr>
            <w:r>
              <w:rPr>
                <w:rFonts w:hint="eastAsia"/>
              </w:rPr>
              <w:t>③建設産業への関心を深める取組と実施に当たっての事前調整等</w:t>
            </w:r>
          </w:p>
          <w:p>
            <w:pPr>
              <w:pStyle w:val="0"/>
              <w:spacing w:line="209" w:lineRule="exact"/>
              <w:ind w:firstLine="210" w:firstLineChars="100"/>
              <w:rPr>
                <w:rFonts w:hint="eastAsia"/>
              </w:rPr>
            </w:pPr>
          </w:p>
          <w:p>
            <w:pPr>
              <w:pStyle w:val="0"/>
              <w:spacing w:line="209" w:lineRule="exact"/>
              <w:ind w:firstLine="210" w:firstLineChars="100"/>
              <w:rPr>
                <w:rFonts w:hint="eastAsia"/>
              </w:rPr>
            </w:pPr>
          </w:p>
          <w:p>
            <w:pPr>
              <w:pStyle w:val="0"/>
              <w:spacing w:line="209" w:lineRule="exact"/>
              <w:ind w:firstLine="210" w:firstLineChars="100"/>
              <w:rPr>
                <w:rFonts w:hint="eastAsia"/>
              </w:rPr>
            </w:pPr>
            <w:r>
              <w:rPr>
                <w:rFonts w:hint="eastAsia"/>
                <w:color w:val="auto"/>
                <w:u w:val="single" w:color="auto"/>
              </w:rPr>
              <w:t>※③の有効な取組については，その費用を変更契約の対象とする（入札額には含めないこと）。</w:t>
            </w:r>
          </w:p>
          <w:p>
            <w:pPr>
              <w:pStyle w:val="0"/>
              <w:spacing w:line="209" w:lineRule="exact"/>
              <w:ind w:left="420" w:leftChars="100" w:hanging="210" w:hangingChars="100"/>
              <w:rPr>
                <w:rFonts w:hint="eastAsia"/>
              </w:rPr>
            </w:pPr>
            <w:r>
              <w:rPr>
                <w:rFonts w:hint="eastAsia"/>
              </w:rPr>
              <w:t>※③の申請について，受注後の事前調整の結果，実施ができないと判断できる場合は，受注者は「同等又は同等以上」の履行義務を負わない。</w:t>
            </w:r>
          </w:p>
          <w:p>
            <w:pPr>
              <w:pStyle w:val="0"/>
              <w:spacing w:line="209" w:lineRule="exact"/>
              <w:ind w:left="420" w:leftChars="100" w:hanging="210" w:hangingChars="100"/>
              <w:rPr>
                <w:rFonts w:hint="eastAsia"/>
              </w:rPr>
            </w:pPr>
            <w:r>
              <w:rPr>
                <w:rFonts w:hint="eastAsia"/>
              </w:rPr>
              <w:t>※③の取組については，感染症対策に十分配慮すること。</w:t>
            </w: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tc>
      </w:tr>
    </w:tbl>
    <w:p>
      <w:pPr>
        <w:pStyle w:val="0"/>
        <w:jc w:val="left"/>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：Ｒ３営繕　徳島東部防災拠点施設（仮称）　徳・東沖洲１　改修工事建築（１）</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51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18"/>
      </w:tblGrid>
      <w:tr>
        <w:trPr>
          <w:trHeight w:val="411" w:hRule="atLeast"/>
        </w:trPr>
        <w:tc>
          <w:tcPr>
            <w:tcW w:w="9518"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518" w:type="dxa"/>
            <w:vAlign w:val="top"/>
          </w:tcPr>
          <w:p>
            <w:pPr>
              <w:pStyle w:val="0"/>
              <w:spacing w:line="209" w:lineRule="exact"/>
              <w:rPr>
                <w:rFonts w:hint="eastAsia"/>
              </w:rPr>
            </w:pPr>
            <w:r>
              <w:rPr>
                <w:rFonts w:hint="eastAsia"/>
              </w:rPr>
              <w:t>①限られた外部空間を有効に利用するための工夫や安全対策</w:t>
            </w: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r>
              <w:rPr>
                <w:rFonts w:hint="eastAsia"/>
              </w:rPr>
              <w:t>②高所作業における資材等の落下や作業員の墜落事故を防止するための工夫</w:t>
            </w:r>
          </w:p>
          <w:p>
            <w:pPr>
              <w:pStyle w:val="0"/>
              <w:spacing w:line="209" w:lineRule="exact"/>
              <w:rPr>
                <w:rFonts w:hint="default"/>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spacing w:line="209" w:lineRule="exact"/>
              <w:rPr>
                <w:rFonts w:hint="default"/>
              </w:rPr>
            </w:pPr>
          </w:p>
          <w:p>
            <w:pPr>
              <w:pStyle w:val="0"/>
              <w:spacing w:line="209" w:lineRule="exact"/>
              <w:rPr>
                <w:rFonts w:hint="default"/>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r>
              <w:rPr>
                <w:rFonts w:hint="eastAsia"/>
              </w:rPr>
              <w:t>③建設産業への関心を深める取組と実施に当たっての事前調整等</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jc w:val="center"/>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300" w:firstLineChars="100"/>
        <w:jc w:val="center"/>
        <w:rPr>
          <w:rFonts w:hint="default"/>
          <w:sz w:val="30"/>
        </w:rPr>
      </w:pPr>
      <w:r>
        <w:rPr>
          <w:rFonts w:hint="eastAsia"/>
          <w:sz w:val="30"/>
        </w:rPr>
        <w:t>＜記述上の留意点＞</w:t>
      </w:r>
    </w:p>
    <w:p>
      <w:pPr>
        <w:pStyle w:val="0"/>
        <w:jc w:val="right"/>
        <w:rPr>
          <w:rFonts w:hint="default"/>
          <w:color w:val="000000"/>
          <w:kern w:val="0"/>
        </w:rPr>
      </w:pPr>
    </w:p>
    <w:p>
      <w:pPr>
        <w:pStyle w:val="0"/>
        <w:wordWrap w:val="0"/>
        <w:jc w:val="right"/>
        <w:rPr>
          <w:rFonts w:hint="default"/>
          <w:u w:val="single" w:color="auto"/>
        </w:rPr>
      </w:pPr>
      <w:r>
        <w:rPr>
          <w:rFonts w:hint="eastAsia"/>
          <w:u w:val="single" w:color="auto"/>
        </w:rPr>
        <w:t>商号又は名称：　　　　　　　　　　</w:t>
      </w:r>
    </w:p>
    <w:p>
      <w:pPr>
        <w:pStyle w:val="0"/>
        <w:ind w:right="210"/>
        <w:jc w:val="right"/>
        <w:rPr>
          <w:rFonts w:hint="default"/>
          <w:u w:val="single" w:color="auto"/>
        </w:rPr>
      </w:pPr>
      <w:r>
        <w:rPr>
          <w:rFonts w:hint="eastAsia"/>
          <w:u w:val="single" w:color="auto"/>
        </w:rPr>
        <w:t>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「○○・○○」の適切性</w:t>
            </w:r>
          </w:p>
        </w:tc>
      </w:tr>
    </w:tbl>
    <w:p>
      <w:pPr>
        <w:pStyle w:val="0"/>
        <w:overflowPunct w:val="0"/>
        <w:spacing w:line="80" w:lineRule="exact"/>
        <w:jc w:val="left"/>
        <w:textAlignment w:val="baseline"/>
        <w:rPr>
          <w:rFonts w:hint="default"/>
          <w:color w:val="000000"/>
          <w:kern w:val="0"/>
        </w:rPr>
      </w:pPr>
    </w:p>
    <w:tbl>
      <w:tblPr>
        <w:tblStyle w:val="11"/>
        <w:tblW w:w="956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4"/>
      </w:tblGrid>
      <w:tr>
        <w:trPr>
          <w:trHeight w:val="395" w:hRule="atLeast"/>
        </w:trPr>
        <w:tc>
          <w:tcPr>
            <w:tcW w:w="9564"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0596" w:hRule="atLeast"/>
        </w:trPr>
        <w:tc>
          <w:tcPr>
            <w:tcW w:w="9564"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distT="0" distB="0" distL="114299" distR="114299" simplePos="0" relativeHeight="3" behindDoc="0" locked="0" layoutInCell="1" hidden="0" allowOverlap="1">
                      <wp:simplePos x="0" y="0"/>
                      <wp:positionH relativeFrom="column">
                        <wp:posOffset>5641975</wp:posOffset>
                      </wp:positionH>
                      <wp:positionV relativeFrom="paragraph">
                        <wp:posOffset>2540</wp:posOffset>
                      </wp:positionV>
                      <wp:extent cx="0" cy="671512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67151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8.94pt;mso-wrap-distance-bottom:0pt;margin-top:0.2pt;mso-position-vertical-relative:text;mso-position-horizontal-relative:text;position:absolute;height:528.75pt;mso-wrap-distance-top:0pt;width:0pt;mso-wrap-distance-left:8.94pt;margin-left:444.25pt;z-index:3;" o:spid="_x0000_s1026"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b w:val="1"/>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b w:val="1"/>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5895975" cy="3228975"/>
                              </a:xfrm>
                              <a:prstGeom prst="rect">
                                <a:avLst/>
                              </a:prstGeom>
                              <a:solidFill>
                                <a:srgbClr val="FFFFFF"/>
                              </a:solidFill>
                              <a:ln w="12700">
                                <a:solidFill>
                                  <a:srgbClr val="000000"/>
                                </a:solidFill>
                                <a:prstDash val="dash"/>
                                <a:miter lim="800000"/>
                                <a:headEnd/>
                                <a:tailEnd/>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5.75pt;mso-position-vertical-relative:text;mso-position-horizontal-relative:text;v-text-anchor:top;position:absolute;height:254.25pt;mso-wrap-distance-top:0pt;width:464.25pt;mso-wrap-distance-left:9pt;margin-left:4pt;z-index:4;" o:spid="_x0000_s1027" o:allowincell="t" o:allowoverlap="t" filled="t" fillcolor="#ffffff" stroked="t" strokecolor="#000000" strokeweight="1pt" o:spt="202" type="#_x0000_t202">
                      <v:fill/>
                      <v:stroke miterlimit="8"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0.9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5" w:type="default"/>
      <w:footerReference r:id="rId6" w:type="default"/>
      <w:pgSz w:w="11906" w:h="16838"/>
      <w:pgMar w:top="1134" w:right="851" w:bottom="851" w:left="1134" w:header="567" w:footer="113" w:gutter="0"/>
      <w:pgNumType w:fmt="numberInDash"/>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1353</TotalTime>
  <Pages>6</Pages>
  <Words>13</Words>
  <Characters>2827</Characters>
  <Application>JUST Note</Application>
  <Lines>385</Lines>
  <Paragraphs>90</Paragraphs>
  <Company>徳島県</Company>
  <CharactersWithSpaces>3083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2021-11-24T02:02:54Z</cp:lastPrinted>
  <dcterms:created xsi:type="dcterms:W3CDTF">2017-06-05T11:24:00Z</dcterms:created>
  <dcterms:modified xsi:type="dcterms:W3CDTF">2021-11-18T07:06:05Z</dcterms:modified>
  <cp:revision>19</cp:revision>
</cp:coreProperties>
</file>